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00"/>
        <w:tblW w:w="998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08"/>
        <w:gridCol w:w="1376"/>
        <w:gridCol w:w="4103"/>
      </w:tblGrid>
      <w:tr w:rsidR="00D0709C" w:rsidRPr="00514EC7" w:rsidTr="006F3BBE">
        <w:trPr>
          <w:trHeight w:val="1632"/>
        </w:trPr>
        <w:tc>
          <w:tcPr>
            <w:tcW w:w="45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709C" w:rsidRPr="00514EC7" w:rsidRDefault="00D0709C" w:rsidP="006F3BB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D0709C" w:rsidRPr="00514EC7" w:rsidRDefault="00D0709C" w:rsidP="006F3BB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D0709C" w:rsidRPr="00514EC7" w:rsidRDefault="00D0709C" w:rsidP="006F3BB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D0709C" w:rsidRPr="00514EC7" w:rsidRDefault="00D0709C" w:rsidP="006F3BB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14EC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514EC7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D0709C" w:rsidRPr="00514EC7" w:rsidRDefault="00D0709C" w:rsidP="006F3BB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D0709C" w:rsidRPr="00514EC7" w:rsidRDefault="00D0709C" w:rsidP="006F3BB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D0709C" w:rsidRPr="00514EC7" w:rsidRDefault="00D0709C" w:rsidP="006F3BB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709C" w:rsidRPr="00514EC7" w:rsidRDefault="00D0709C" w:rsidP="006F3B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19050" t="0" r="0" b="0"/>
                  <wp:docPr id="10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0709C" w:rsidRPr="00514EC7" w:rsidRDefault="00D0709C" w:rsidP="006F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514EC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514EC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D0709C" w:rsidRPr="00514EC7" w:rsidTr="006F3BBE">
        <w:trPr>
          <w:trHeight w:val="844"/>
        </w:trPr>
        <w:tc>
          <w:tcPr>
            <w:tcW w:w="4508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D0709C" w:rsidRPr="00514EC7" w:rsidRDefault="00D0709C" w:rsidP="006F3BBE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514E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514EC7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D0709C" w:rsidRPr="00514EC7" w:rsidRDefault="00D0709C" w:rsidP="006F3BBE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514E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514E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514E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  <w:r w:rsidRPr="00514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</w:t>
            </w:r>
            <w:proofErr w:type="spellStart"/>
            <w:r w:rsidRPr="00514EC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514E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D0709C" w:rsidRPr="00514EC7" w:rsidRDefault="00D0709C" w:rsidP="006F3BB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09C" w:rsidRPr="00514EC7" w:rsidRDefault="00D0709C" w:rsidP="006F3BB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№74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D0709C" w:rsidRPr="00514EC7" w:rsidRDefault="00D0709C" w:rsidP="006F3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4E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0709C" w:rsidRPr="00514EC7" w:rsidRDefault="00D0709C" w:rsidP="006F3BBE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514E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514E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Pr="00514E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</w:tr>
    </w:tbl>
    <w:p w:rsidR="00D0709C" w:rsidRDefault="00D0709C" w:rsidP="00D0709C">
      <w:pPr>
        <w:autoSpaceDE w:val="0"/>
        <w:autoSpaceDN w:val="0"/>
        <w:adjustRightInd w:val="0"/>
        <w:rPr>
          <w:sz w:val="28"/>
          <w:szCs w:val="28"/>
        </w:rPr>
      </w:pPr>
    </w:p>
    <w:p w:rsidR="00D0709C" w:rsidRPr="00685646" w:rsidRDefault="00D0709C" w:rsidP="00D0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4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85646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46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proofErr w:type="gramEnd"/>
      <w:r w:rsidRPr="00685646">
        <w:rPr>
          <w:rFonts w:ascii="Times New Roman" w:hAnsi="Times New Roman" w:cs="Times New Roman"/>
          <w:b/>
          <w:sz w:val="28"/>
          <w:szCs w:val="28"/>
        </w:rPr>
        <w:t xml:space="preserve"> Еремеевский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46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 Республики Башкортостан,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46">
        <w:rPr>
          <w:rFonts w:ascii="Times New Roman" w:hAnsi="Times New Roman" w:cs="Times New Roman"/>
          <w:b/>
          <w:sz w:val="28"/>
          <w:szCs w:val="28"/>
        </w:rPr>
        <w:t xml:space="preserve">порядка и сроков внесения изменений в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Еремеевский</w:t>
      </w:r>
      <w:r w:rsidRPr="0068564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46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 Республики Башкортостан</w:t>
      </w:r>
    </w:p>
    <w:p w:rsidR="00D0709C" w:rsidRPr="00685646" w:rsidRDefault="00D0709C" w:rsidP="00D07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0709C" w:rsidRPr="00685646" w:rsidRDefault="00D0709C" w:rsidP="00D0709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85646">
        <w:rPr>
          <w:rFonts w:ascii="Times New Roman" w:hAnsi="Times New Roman" w:cs="Times New Roman"/>
          <w:sz w:val="26"/>
          <w:szCs w:val="26"/>
        </w:rPr>
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685646">
        <w:rPr>
          <w:rFonts w:ascii="Times New Roman" w:hAnsi="Times New Roman" w:cs="Times New Roman"/>
          <w:sz w:val="26"/>
          <w:szCs w:val="26"/>
        </w:rPr>
        <w:t xml:space="preserve">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</w:t>
      </w:r>
    </w:p>
    <w:p w:rsidR="00D0709C" w:rsidRPr="00685646" w:rsidRDefault="00D0709C" w:rsidP="00D0709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0709C" w:rsidRPr="00685646" w:rsidRDefault="00D0709C" w:rsidP="00D0709C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64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0709C" w:rsidRPr="00685646" w:rsidRDefault="00D0709C" w:rsidP="00D0709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0709C" w:rsidRPr="00685646" w:rsidRDefault="00D0709C" w:rsidP="00D070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 xml:space="preserve">1. Утвердить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 согласно приложению №1.</w:t>
      </w:r>
    </w:p>
    <w:p w:rsidR="00D0709C" w:rsidRPr="00685646" w:rsidRDefault="00D0709C" w:rsidP="00D070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 xml:space="preserve">2. Утвердить порядок и сроки внесения изменений в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 согласно приложению № 2.</w:t>
      </w:r>
    </w:p>
    <w:p w:rsidR="00D0709C" w:rsidRPr="00685646" w:rsidRDefault="00D0709C" w:rsidP="00D070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ADA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DF5ADA">
        <w:rPr>
          <w:rFonts w:ascii="Times New Roman" w:hAnsi="Times New Roman" w:cs="Times New Roman"/>
          <w:sz w:val="26"/>
          <w:szCs w:val="26"/>
        </w:rPr>
        <w:t>Считать утратившим силу постановление главы от 30 ноября 2022  года № 65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646">
        <w:rPr>
          <w:rFonts w:ascii="Times New Roman" w:hAnsi="Times New Roman" w:cs="Times New Roman"/>
          <w:sz w:val="26"/>
          <w:szCs w:val="26"/>
        </w:rPr>
        <w:t xml:space="preserve">«Об утверждении перечня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Чишминский 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Чишминский район Республики Башкортостан» со всеми внесенными изменениями и дополнениями.</w:t>
      </w:r>
      <w:proofErr w:type="gramEnd"/>
    </w:p>
    <w:p w:rsidR="00D0709C" w:rsidRPr="00685646" w:rsidRDefault="00D0709C" w:rsidP="00D070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 xml:space="preserve"> 4. Настоящее постановление применяется к правоотношениям, возникающим при составлении и исполнении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Башкортостан, начиная с бюджета на 2024 год и на плановый период 2025 и 2026 годов.</w:t>
      </w:r>
    </w:p>
    <w:p w:rsidR="00D0709C" w:rsidRPr="00685646" w:rsidRDefault="00D0709C" w:rsidP="00D070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 xml:space="preserve">5.  </w:t>
      </w:r>
      <w:proofErr w:type="gramStart"/>
      <w:r w:rsidRPr="006856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56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0709C" w:rsidRPr="00685646" w:rsidRDefault="00D0709C" w:rsidP="00D0709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0709C" w:rsidRPr="00685646" w:rsidRDefault="00D0709C" w:rsidP="00D0709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0709C" w:rsidRPr="00685646" w:rsidRDefault="00D0709C" w:rsidP="00D0709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D0709C" w:rsidRPr="00685646" w:rsidRDefault="00D0709C" w:rsidP="00D0709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Еремеевский 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Х.Ш.Исмагилов</w:t>
      </w: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D0709C" w:rsidRPr="00DF5ADA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 w:rsidRPr="00DF5ADA">
        <w:rPr>
          <w:rFonts w:ascii="Times New Roman" w:hAnsi="Times New Roman" w:cs="Times New Roman"/>
        </w:rPr>
        <w:t>Приложение № 1</w:t>
      </w:r>
    </w:p>
    <w:p w:rsidR="00D0709C" w:rsidRPr="00DF5ADA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 w:rsidRPr="00DF5ADA">
        <w:rPr>
          <w:rFonts w:ascii="Times New Roman" w:hAnsi="Times New Roman" w:cs="Times New Roman"/>
        </w:rPr>
        <w:tab/>
        <w:t xml:space="preserve">  к постановлению Администрации сельского поселения                 </w:t>
      </w:r>
      <w:r>
        <w:rPr>
          <w:rFonts w:ascii="Times New Roman" w:hAnsi="Times New Roman" w:cs="Times New Roman"/>
        </w:rPr>
        <w:t xml:space="preserve">          </w:t>
      </w:r>
      <w:r w:rsidRPr="00DF5ADA">
        <w:rPr>
          <w:rFonts w:ascii="Times New Roman" w:hAnsi="Times New Roman" w:cs="Times New Roman"/>
        </w:rPr>
        <w:t xml:space="preserve">Еремеевский сельсовет </w:t>
      </w:r>
      <w:r>
        <w:rPr>
          <w:rFonts w:ascii="Times New Roman" w:hAnsi="Times New Roman" w:cs="Times New Roman"/>
        </w:rPr>
        <w:t xml:space="preserve">          </w:t>
      </w:r>
      <w:r w:rsidRPr="00DF5ADA">
        <w:rPr>
          <w:rFonts w:ascii="Times New Roman" w:hAnsi="Times New Roman" w:cs="Times New Roman"/>
        </w:rPr>
        <w:t xml:space="preserve">муниципального района  </w:t>
      </w:r>
      <w:r>
        <w:rPr>
          <w:rFonts w:ascii="Times New Roman" w:hAnsi="Times New Roman" w:cs="Times New Roman"/>
        </w:rPr>
        <w:t xml:space="preserve">             </w:t>
      </w:r>
      <w:r w:rsidRPr="00DF5ADA">
        <w:rPr>
          <w:rFonts w:ascii="Times New Roman" w:hAnsi="Times New Roman" w:cs="Times New Roman"/>
        </w:rPr>
        <w:t xml:space="preserve">Чишминский район           </w:t>
      </w:r>
      <w:r>
        <w:rPr>
          <w:rFonts w:ascii="Times New Roman" w:hAnsi="Times New Roman" w:cs="Times New Roman"/>
        </w:rPr>
        <w:t xml:space="preserve">                   </w:t>
      </w:r>
      <w:r w:rsidRPr="00DF5ADA">
        <w:rPr>
          <w:rFonts w:ascii="Times New Roman" w:hAnsi="Times New Roman" w:cs="Times New Roman"/>
        </w:rPr>
        <w:t xml:space="preserve">  Республики Башкортостан </w:t>
      </w:r>
      <w:r>
        <w:rPr>
          <w:rFonts w:ascii="Times New Roman" w:hAnsi="Times New Roman" w:cs="Times New Roman"/>
        </w:rPr>
        <w:t xml:space="preserve">                            </w:t>
      </w:r>
      <w:r w:rsidRPr="00DF5ADA">
        <w:rPr>
          <w:rFonts w:ascii="Times New Roman" w:hAnsi="Times New Roman" w:cs="Times New Roman"/>
        </w:rPr>
        <w:t>от  13 декабря 2023 года № 74</w:t>
      </w:r>
      <w:r w:rsidRPr="0068564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</w:t>
      </w:r>
    </w:p>
    <w:p w:rsidR="00D0709C" w:rsidRPr="00685646" w:rsidRDefault="00D0709C" w:rsidP="00D0709C">
      <w:pPr>
        <w:jc w:val="center"/>
        <w:rPr>
          <w:rFonts w:ascii="Times New Roman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сельского поселения</w:t>
      </w:r>
    </w:p>
    <w:p w:rsidR="00D0709C" w:rsidRPr="00685646" w:rsidRDefault="00D0709C" w:rsidP="00D0709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</w:p>
    <w:p w:rsidR="00D0709C" w:rsidRPr="00685646" w:rsidRDefault="00D0709C" w:rsidP="00D0709C">
      <w:pPr>
        <w:jc w:val="center"/>
        <w:rPr>
          <w:rFonts w:ascii="Times New Roman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>Чишминский район Республики Башкортостан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6520"/>
      </w:tblGrid>
      <w:tr w:rsidR="00D0709C" w:rsidRPr="00685646" w:rsidTr="006F3BBE">
        <w:trPr>
          <w:trHeight w:val="698"/>
        </w:trPr>
        <w:tc>
          <w:tcPr>
            <w:tcW w:w="3510" w:type="dxa"/>
            <w:gridSpan w:val="2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D0709C" w:rsidRPr="00685646" w:rsidTr="006F3BBE">
        <w:trPr>
          <w:trHeight w:val="698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</w:t>
            </w:r>
          </w:p>
        </w:tc>
        <w:tc>
          <w:tcPr>
            <w:tcW w:w="2693" w:type="dxa"/>
            <w:vAlign w:val="center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0709C" w:rsidRPr="00685646" w:rsidTr="006F3BBE">
        <w:trPr>
          <w:trHeight w:val="357"/>
        </w:trPr>
        <w:tc>
          <w:tcPr>
            <w:tcW w:w="10030" w:type="dxa"/>
            <w:gridSpan w:val="3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Федеральная налоговая служба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1 01 02 010 01 0000 110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1 01 02 020 01 0000 110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1 01 02 030 01 0000 110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1 05 03 010 01 0000 110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1 06 01 030 10 0000 110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1 06 </w:t>
            </w:r>
            <w:proofErr w:type="spellStart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 033 10 0000 110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1 06 </w:t>
            </w:r>
            <w:proofErr w:type="spellStart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 043 10 0000 110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0709C" w:rsidRPr="00685646" w:rsidTr="006F3BBE">
        <w:trPr>
          <w:trHeight w:val="357"/>
        </w:trPr>
        <w:tc>
          <w:tcPr>
            <w:tcW w:w="10030" w:type="dxa"/>
            <w:gridSpan w:val="3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муниципального района Чишминский район Республики Башкортостан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1 11 05 025 10 0000 120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1 11 05 035 10 0000 120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1 11 05 075 10 0000 120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706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1 11 09 045 10 0000 120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1 14 02 053 10 0000 410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1 14 06 025 10 0000 430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1 16 02 020 02 0000 140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0709C" w:rsidRPr="00685646" w:rsidTr="006F3BBE">
        <w:trPr>
          <w:trHeight w:val="357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1 16 10 123 01 0001 140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0709C" w:rsidRPr="00685646" w:rsidTr="006F3BBE">
        <w:trPr>
          <w:trHeight w:val="357"/>
        </w:trPr>
        <w:tc>
          <w:tcPr>
            <w:tcW w:w="10030" w:type="dxa"/>
            <w:gridSpan w:val="3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Еремеевский</w:t>
            </w:r>
            <w:r w:rsidRPr="006856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Чишминский район республики Башкортостан</w:t>
            </w:r>
          </w:p>
        </w:tc>
      </w:tr>
      <w:tr w:rsidR="00D0709C" w:rsidRPr="00685646" w:rsidTr="006F3BBE">
        <w:trPr>
          <w:trHeight w:val="170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</w:tr>
      <w:tr w:rsidR="00D0709C" w:rsidRPr="00685646" w:rsidTr="006F3BBE">
        <w:trPr>
          <w:trHeight w:val="170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1 11 09045 10 0000 120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709C" w:rsidRPr="00685646" w:rsidTr="006F3BBE">
        <w:trPr>
          <w:trHeight w:val="170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0709C" w:rsidRPr="00685646" w:rsidTr="006F3BBE">
        <w:trPr>
          <w:trHeight w:val="170"/>
        </w:trPr>
        <w:tc>
          <w:tcPr>
            <w:tcW w:w="817" w:type="dxa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6520" w:type="dxa"/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1 16 01074 01 0001 140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(подлежащие зачислению в бюджет сельского  поселения)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1 16 01084 01 0001 140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(подлежащие зачислению в бюджет сельского поселения)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1 16 07010 10 0000 140</w:t>
            </w:r>
          </w:p>
          <w:p w:rsidR="00D0709C" w:rsidRPr="00685646" w:rsidRDefault="00D0709C" w:rsidP="006F3BBE">
            <w:pPr>
              <w:pStyle w:val="a3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1 16 07030 10 0000 140</w:t>
            </w:r>
          </w:p>
          <w:p w:rsidR="00D0709C" w:rsidRPr="00685646" w:rsidRDefault="00D0709C" w:rsidP="006F3BBE">
            <w:pPr>
              <w:pStyle w:val="a3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1 16 07040 10 0000 140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1 16 10031 10 0000 140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1 16 10061 10  0000 140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1 16 10062 10  0000 140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1 16 10081 10 0000 140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1 16 10082 10 0000 140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1 16 10100 10  0000 140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 1 16 10123 01 0001 140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spacing w:after="12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 xml:space="preserve"> 1 16 10123 01 0002 140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сельских  поселений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1 17 16000 10 0000 180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1 18 01520 10 0000 150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1 18 02500 10 0000 150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2 02 49999 10 5497 150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2 02 49999 10 5555 150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2 02 49999 10 5675 150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2 02 49999 10 7201 150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2 02 49999 10 7220 150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2 02 49999 10 7221 150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2 02 49999 10 7222 150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2 02 49999 10 7231 150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2 02 49999 10 7235 150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2 02 49999 10 7265 150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9C" w:rsidRPr="00685646" w:rsidRDefault="00D0709C" w:rsidP="006F3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2 07 05 030 10 6600 150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9C" w:rsidRPr="00685646" w:rsidRDefault="00D0709C" w:rsidP="006F3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2 18 60020 10 0000 150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0709C" w:rsidRPr="00685646" w:rsidTr="006F3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right="-7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09C" w:rsidRPr="00685646" w:rsidRDefault="00D0709C" w:rsidP="006F3BB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6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709C" w:rsidRPr="00685646" w:rsidRDefault="00D0709C" w:rsidP="00D0709C">
      <w:pPr>
        <w:ind w:right="-75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Pr="00685646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Pr="00685646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Pr="00685646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Pr="00685646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Pr="00685646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Pr="00685646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Pr="00DF5ADA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 w:rsidRPr="00DF5AD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0709C" w:rsidRPr="00DF5ADA" w:rsidRDefault="00D0709C" w:rsidP="00D0709C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</w:rPr>
      </w:pPr>
      <w:r w:rsidRPr="00DF5ADA">
        <w:rPr>
          <w:rFonts w:ascii="Times New Roman" w:hAnsi="Times New Roman" w:cs="Times New Roman"/>
        </w:rPr>
        <w:tab/>
        <w:t xml:space="preserve">  к постановлению Администрации сельского поселения                 </w:t>
      </w:r>
      <w:r>
        <w:rPr>
          <w:rFonts w:ascii="Times New Roman" w:hAnsi="Times New Roman" w:cs="Times New Roman"/>
        </w:rPr>
        <w:t xml:space="preserve">          </w:t>
      </w:r>
      <w:r w:rsidRPr="00DF5ADA">
        <w:rPr>
          <w:rFonts w:ascii="Times New Roman" w:hAnsi="Times New Roman" w:cs="Times New Roman"/>
        </w:rPr>
        <w:t xml:space="preserve">Еремеевский сельсовет </w:t>
      </w:r>
      <w:r>
        <w:rPr>
          <w:rFonts w:ascii="Times New Roman" w:hAnsi="Times New Roman" w:cs="Times New Roman"/>
        </w:rPr>
        <w:t xml:space="preserve">          </w:t>
      </w:r>
      <w:r w:rsidRPr="00DF5ADA">
        <w:rPr>
          <w:rFonts w:ascii="Times New Roman" w:hAnsi="Times New Roman" w:cs="Times New Roman"/>
        </w:rPr>
        <w:t xml:space="preserve">муниципального района  </w:t>
      </w:r>
      <w:r>
        <w:rPr>
          <w:rFonts w:ascii="Times New Roman" w:hAnsi="Times New Roman" w:cs="Times New Roman"/>
        </w:rPr>
        <w:t xml:space="preserve">             </w:t>
      </w:r>
      <w:r w:rsidRPr="00DF5ADA">
        <w:rPr>
          <w:rFonts w:ascii="Times New Roman" w:hAnsi="Times New Roman" w:cs="Times New Roman"/>
        </w:rPr>
        <w:t xml:space="preserve">Чишминский район           </w:t>
      </w:r>
      <w:r>
        <w:rPr>
          <w:rFonts w:ascii="Times New Roman" w:hAnsi="Times New Roman" w:cs="Times New Roman"/>
        </w:rPr>
        <w:t xml:space="preserve">                   </w:t>
      </w:r>
      <w:r w:rsidRPr="00DF5ADA">
        <w:rPr>
          <w:rFonts w:ascii="Times New Roman" w:hAnsi="Times New Roman" w:cs="Times New Roman"/>
        </w:rPr>
        <w:t xml:space="preserve">  Республики Башкортостан </w:t>
      </w:r>
      <w:r>
        <w:rPr>
          <w:rFonts w:ascii="Times New Roman" w:hAnsi="Times New Roman" w:cs="Times New Roman"/>
        </w:rPr>
        <w:t xml:space="preserve">                            </w:t>
      </w:r>
      <w:r w:rsidRPr="00DF5ADA">
        <w:rPr>
          <w:rFonts w:ascii="Times New Roman" w:hAnsi="Times New Roman" w:cs="Times New Roman"/>
        </w:rPr>
        <w:t>от  13 декабря 2023 года № 74</w:t>
      </w:r>
      <w:r w:rsidRPr="0068564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</w:t>
      </w:r>
    </w:p>
    <w:p w:rsidR="00D0709C" w:rsidRPr="00685646" w:rsidRDefault="00D0709C" w:rsidP="00D070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5646">
        <w:rPr>
          <w:rFonts w:ascii="Times New Roman" w:hAnsi="Times New Roman" w:cs="Times New Roman"/>
          <w:bCs/>
          <w:sz w:val="26"/>
          <w:szCs w:val="26"/>
        </w:rPr>
        <w:t xml:space="preserve">Порядок и сроки  внесения изменений в перечень </w:t>
      </w:r>
    </w:p>
    <w:p w:rsidR="00D0709C" w:rsidRPr="00685646" w:rsidRDefault="00D0709C" w:rsidP="00D070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5646">
        <w:rPr>
          <w:rFonts w:ascii="Times New Roman" w:hAnsi="Times New Roman" w:cs="Times New Roman"/>
          <w:bCs/>
          <w:sz w:val="26"/>
          <w:szCs w:val="26"/>
        </w:rPr>
        <w:t xml:space="preserve">главных администраторов доходов бюджета сельского поселения </w:t>
      </w:r>
    </w:p>
    <w:p w:rsidR="00D0709C" w:rsidRPr="00685646" w:rsidRDefault="00D0709C" w:rsidP="00D070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Еремеевский</w:t>
      </w:r>
      <w:r w:rsidRPr="0068564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</w:p>
    <w:p w:rsidR="00D0709C" w:rsidRPr="00685646" w:rsidRDefault="00D0709C" w:rsidP="00D070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5646">
        <w:rPr>
          <w:rFonts w:ascii="Times New Roman" w:hAnsi="Times New Roman" w:cs="Times New Roman"/>
          <w:bCs/>
          <w:sz w:val="26"/>
          <w:szCs w:val="26"/>
        </w:rPr>
        <w:t>Чишминский район Республики Башкортостан</w:t>
      </w:r>
    </w:p>
    <w:p w:rsidR="00D0709C" w:rsidRPr="00685646" w:rsidRDefault="00D0709C" w:rsidP="00D07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709C" w:rsidRPr="00685646" w:rsidRDefault="00D0709C" w:rsidP="00D070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685646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5" w:history="1">
        <w:r w:rsidRPr="00685646">
          <w:rPr>
            <w:rFonts w:ascii="Times New Roman" w:hAnsi="Times New Roman" w:cs="Times New Roman"/>
            <w:sz w:val="26"/>
            <w:szCs w:val="26"/>
          </w:rPr>
          <w:t>Постановлением</w:t>
        </w:r>
        <w:proofErr w:type="gramEnd"/>
      </w:hyperlink>
      <w:r w:rsidRPr="0068564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 муниципального района Чишминский район Республики Башкортостан.</w:t>
      </w:r>
    </w:p>
    <w:p w:rsidR="00D0709C" w:rsidRPr="00685646" w:rsidRDefault="00D0709C" w:rsidP="00D070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564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85646">
        <w:rPr>
          <w:rFonts w:ascii="Times New Roman" w:hAnsi="Times New Roman" w:cs="Times New Roman"/>
          <w:sz w:val="26"/>
          <w:szCs w:val="26"/>
        </w:rPr>
        <w:t xml:space="preserve">В случаях внесения изменений в нормативные правовые акты Российской Федерации, Республики Башкортостан, муниципального района Чишминский район Республики Башкортостан в части изменения состава и (или) функций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85646">
        <w:rPr>
          <w:rFonts w:ascii="Times New Roman" w:hAnsi="Times New Roman" w:cs="Times New Roman"/>
          <w:sz w:val="26"/>
          <w:szCs w:val="26"/>
        </w:rPr>
        <w:t>Чишминского</w:t>
      </w:r>
      <w:proofErr w:type="spellEnd"/>
      <w:r w:rsidRPr="00685646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Башкортостан, а также принципов назначения и присвоения структуры кодов классификации доходов бюджетов в перечень главных администраторов доходов бюджета 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Pr="006856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564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85646">
        <w:rPr>
          <w:rFonts w:ascii="Times New Roman" w:hAnsi="Times New Roman" w:cs="Times New Roman"/>
          <w:sz w:val="26"/>
          <w:szCs w:val="26"/>
        </w:rPr>
        <w:t>Чишминского</w:t>
      </w:r>
      <w:proofErr w:type="spellEnd"/>
      <w:r w:rsidRPr="00685646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 закрепление видов (подвидов) доходов бюджета за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Еремеевский </w:t>
      </w:r>
      <w:r w:rsidRPr="00685646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685646">
        <w:rPr>
          <w:rFonts w:ascii="Times New Roman" w:hAnsi="Times New Roman" w:cs="Times New Roman"/>
          <w:sz w:val="26"/>
          <w:szCs w:val="26"/>
        </w:rPr>
        <w:t>Чишминского</w:t>
      </w:r>
      <w:proofErr w:type="spellEnd"/>
      <w:r w:rsidRPr="00685646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Башкортостан,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Еремеевский </w:t>
      </w:r>
      <w:r w:rsidRPr="00685646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Чишминский район Республики Башкортостан не позднее 30 календарных дней со дня внесения изменений разрабатывает проект Постановления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</w:t>
      </w:r>
      <w:proofErr w:type="gramEnd"/>
      <w:r w:rsidRPr="00685646">
        <w:rPr>
          <w:rFonts w:ascii="Times New Roman" w:hAnsi="Times New Roman" w:cs="Times New Roman"/>
          <w:sz w:val="26"/>
          <w:szCs w:val="26"/>
        </w:rPr>
        <w:t xml:space="preserve"> о внесении изменений в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Еремеевский </w:t>
      </w:r>
      <w:r w:rsidRPr="00685646">
        <w:rPr>
          <w:rFonts w:ascii="Times New Roman" w:hAnsi="Times New Roman" w:cs="Times New Roman"/>
          <w:sz w:val="26"/>
          <w:szCs w:val="26"/>
        </w:rPr>
        <w:t>сельсовет муниципального района Чишминский район Республики Башкортостан</w:t>
      </w:r>
      <w:r w:rsidRPr="00685646">
        <w:rPr>
          <w:rFonts w:ascii="Times New Roman" w:hAnsi="Times New Roman" w:cs="Times New Roman"/>
          <w:bCs/>
          <w:sz w:val="26"/>
          <w:szCs w:val="26"/>
        </w:rPr>
        <w:t xml:space="preserve"> и предоставляет в Администрацию муниципального района.</w:t>
      </w:r>
    </w:p>
    <w:p w:rsidR="00D0709C" w:rsidRPr="00685646" w:rsidRDefault="00D0709C" w:rsidP="00D070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646">
        <w:rPr>
          <w:rFonts w:ascii="Times New Roman" w:hAnsi="Times New Roman" w:cs="Times New Roman"/>
          <w:bCs/>
          <w:sz w:val="26"/>
          <w:szCs w:val="26"/>
        </w:rPr>
        <w:t xml:space="preserve">3.Рассмотрение и утверждение проекта </w:t>
      </w:r>
      <w:r w:rsidRPr="0068564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 о внесении изменений в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Еремеевский</w:t>
      </w:r>
      <w:r w:rsidRPr="00685646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685646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Чишминский район Республики Башкортостан осуществляется в течение 10 рабочих дней со дня поступления.</w:t>
      </w:r>
    </w:p>
    <w:p w:rsidR="00D0709C" w:rsidRPr="00685646" w:rsidRDefault="00D0709C" w:rsidP="00D0709C">
      <w:pPr>
        <w:ind w:right="-75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9C" w:rsidRPr="00685646" w:rsidRDefault="00D0709C" w:rsidP="00D070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9C" w:rsidRPr="00685646" w:rsidRDefault="00D0709C" w:rsidP="00D070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523" w:rsidRDefault="002D6523"/>
    <w:sectPr w:rsidR="002D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6523"/>
    <w:rsid w:val="002D6523"/>
    <w:rsid w:val="00D0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07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0709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070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709C"/>
  </w:style>
  <w:style w:type="paragraph" w:styleId="a5">
    <w:name w:val="Balloon Text"/>
    <w:basedOn w:val="a"/>
    <w:link w:val="a6"/>
    <w:uiPriority w:val="99"/>
    <w:semiHidden/>
    <w:unhideWhenUsed/>
    <w:rsid w:val="00D0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3596</Words>
  <Characters>20501</Characters>
  <Application>Microsoft Office Word</Application>
  <DocSecurity>0</DocSecurity>
  <Lines>170</Lines>
  <Paragraphs>48</Paragraphs>
  <ScaleCrop>false</ScaleCrop>
  <Company/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2023-12-29T05:32:00Z</dcterms:created>
  <dcterms:modified xsi:type="dcterms:W3CDTF">2023-12-29T05:35:00Z</dcterms:modified>
</cp:coreProperties>
</file>