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75" w:rsidRPr="00C0327C" w:rsidRDefault="00410875" w:rsidP="0041087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327C" w:rsidRPr="00C0327C" w:rsidRDefault="00C0327C" w:rsidP="00C03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7C" w:rsidRPr="00C0327C" w:rsidRDefault="00C0327C" w:rsidP="00C032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C0327C" w:rsidRP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27C" w:rsidRP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C0327C" w:rsidRP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27C" w:rsidRP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27C" w:rsidRP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«26» июня  2020 года №55</w:t>
      </w:r>
    </w:p>
    <w:p w:rsidR="00C0327C" w:rsidRDefault="00C0327C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D9B" w:rsidRPr="00C0327C" w:rsidRDefault="00187D9B" w:rsidP="00C03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D9B" w:rsidRDefault="00134E25" w:rsidP="00134E2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ведения реестров муниципальных нормативных 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Еремеевский </w:t>
      </w: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муниципального района Чишминский район</w:t>
      </w:r>
    </w:p>
    <w:p w:rsidR="00134E25" w:rsidRPr="00C0327C" w:rsidRDefault="00134E25" w:rsidP="00134E2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</w:t>
      </w:r>
    </w:p>
    <w:p w:rsidR="00134E25" w:rsidRPr="00C0327C" w:rsidRDefault="00134E25" w:rsidP="00134E2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Федеральных законов от 6 октября 2003 года № 131-ФЗ              «Об общих принципах организации местного самоуправления в Российской Федерации», от 9 февраля 2009 года № 8-ФЗ «Об обеспечении доступа                   к информации о деятельности государственных органов и органов местного самоуправления» и в целях систематизации учета нормативных правовых актов, </w:t>
      </w:r>
    </w:p>
    <w:p w:rsidR="00134E25" w:rsidRPr="00C0327C" w:rsidRDefault="00134E25" w:rsidP="00134E25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20" w:right="20" w:firstLine="540"/>
        <w:jc w:val="center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shd w:val="clear" w:color="auto" w:fill="FFFFFF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решил</w:t>
      </w:r>
      <w:r w:rsidRPr="00C0327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shd w:val="clear" w:color="auto" w:fill="FFFFFF"/>
        </w:rPr>
        <w:t>:</w:t>
      </w:r>
    </w:p>
    <w:p w:rsidR="00134E25" w:rsidRPr="00C0327C" w:rsidRDefault="00134E25" w:rsidP="00134E25">
      <w:pPr>
        <w:widowControl w:val="0"/>
        <w:tabs>
          <w:tab w:val="left" w:pos="11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порядке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реестров муниципальных нормативных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34E25" w:rsidRPr="00C0327C" w:rsidRDefault="00134E25" w:rsidP="00134E25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Администрации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организовать работу по ведению реестров муниципальных нормативных правовых актов Совета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34E25" w:rsidRPr="00C0327C" w:rsidRDefault="00134E25" w:rsidP="00134E25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порядке, установленном Уставом 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32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разместить на официальном сайте Администрации 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32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Чишминский район Республики Башкортостан в разделе «Совет».</w:t>
      </w:r>
    </w:p>
    <w:p w:rsidR="00134E25" w:rsidRPr="00C0327C" w:rsidRDefault="00134E25" w:rsidP="00134E25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2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32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  на постоянную комиссию Совета 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32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по социально-гуманитарным вопросам, молодежной политике, охране </w:t>
      </w:r>
      <w:r w:rsidRPr="00C0327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правопорядка (</w:t>
      </w:r>
      <w:r w:rsidR="00410875" w:rsidRPr="00C0327C">
        <w:rPr>
          <w:rFonts w:ascii="Times New Roman" w:eastAsia="Times New Roman" w:hAnsi="Times New Roman" w:cs="Times New Roman"/>
          <w:sz w:val="28"/>
          <w:szCs w:val="28"/>
        </w:rPr>
        <w:t>Абдурахманова Н.Р.</w:t>
      </w:r>
      <w:r w:rsidRPr="00C032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4E25" w:rsidRPr="00C0327C" w:rsidRDefault="00134E25" w:rsidP="00134E25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0327C" w:rsidRPr="00C0327C" w:rsidRDefault="00C0327C" w:rsidP="00C03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C0327C" w:rsidRPr="00C0327C" w:rsidRDefault="00C0327C" w:rsidP="00C03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C0327C" w:rsidRPr="00C0327C" w:rsidRDefault="00C0327C" w:rsidP="00C03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C0327C" w:rsidRPr="00C0327C" w:rsidRDefault="00C0327C" w:rsidP="00C03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327C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C0327C" w:rsidRPr="00C0327C" w:rsidRDefault="00C0327C" w:rsidP="00C03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25" w:rsidRPr="00C0327C" w:rsidRDefault="00134E25" w:rsidP="009E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27C">
        <w:rPr>
          <w:rFonts w:ascii="Times New Roman" w:hAnsi="Times New Roman" w:cs="Times New Roman"/>
          <w:sz w:val="28"/>
          <w:szCs w:val="28"/>
        </w:rPr>
        <w:br w:type="page"/>
      </w:r>
      <w:r w:rsidRPr="00C03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E37EE" w:rsidRPr="00C0327C" w:rsidRDefault="00134E25" w:rsidP="009E37EE">
      <w:pPr>
        <w:widowControl w:val="0"/>
        <w:spacing w:after="0" w:line="240" w:lineRule="auto"/>
        <w:ind w:left="41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сельского поселения </w:t>
      </w:r>
    </w:p>
    <w:p w:rsidR="009E37EE" w:rsidRPr="00C0327C" w:rsidRDefault="00410875" w:rsidP="009E37EE">
      <w:pPr>
        <w:widowControl w:val="0"/>
        <w:spacing w:after="0" w:line="240" w:lineRule="auto"/>
        <w:ind w:left="41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="00134E2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9E37EE" w:rsidRPr="00C0327C" w:rsidRDefault="009E37EE" w:rsidP="009E37EE">
      <w:pPr>
        <w:widowControl w:val="0"/>
        <w:spacing w:after="0" w:line="240" w:lineRule="auto"/>
        <w:ind w:left="41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34E2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134E25" w:rsidRPr="00C0327C" w:rsidRDefault="00134E25" w:rsidP="009E37EE">
      <w:pPr>
        <w:widowControl w:val="0"/>
        <w:spacing w:after="0" w:line="240" w:lineRule="auto"/>
        <w:ind w:left="41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Чишминский район </w:t>
      </w:r>
    </w:p>
    <w:p w:rsidR="00134E25" w:rsidRPr="00C0327C" w:rsidRDefault="00134E25" w:rsidP="009E37EE">
      <w:pPr>
        <w:widowControl w:val="0"/>
        <w:spacing w:after="0" w:line="240" w:lineRule="auto"/>
        <w:ind w:left="414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134E25" w:rsidRPr="00C0327C" w:rsidRDefault="00134E25" w:rsidP="009E37EE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июня 2020 года №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</w:p>
    <w:p w:rsidR="00134E25" w:rsidRPr="00C0327C" w:rsidRDefault="00134E25" w:rsidP="00134E25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E25" w:rsidRPr="00C0327C" w:rsidRDefault="00134E25" w:rsidP="009E37EE">
      <w:pPr>
        <w:widowControl w:val="0"/>
        <w:spacing w:after="0" w:line="240" w:lineRule="auto"/>
        <w:ind w:left="360" w:right="3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порядке </w:t>
      </w:r>
      <w:proofErr w:type="gramStart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ведения реестров муниципальных нормативных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Еремеевский </w:t>
      </w: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муниципального района Чишминский район</w:t>
      </w:r>
      <w:bookmarkStart w:id="0" w:name="bookmark0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 </w:t>
      </w:r>
    </w:p>
    <w:p w:rsidR="00134E25" w:rsidRPr="00C0327C" w:rsidRDefault="00134E25" w:rsidP="00134E25">
      <w:pPr>
        <w:widowControl w:val="0"/>
        <w:spacing w:after="0" w:line="240" w:lineRule="auto"/>
        <w:ind w:left="360" w:right="3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360" w:right="3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положения</w:t>
      </w:r>
      <w:bookmarkEnd w:id="0"/>
    </w:p>
    <w:p w:rsidR="00134E25" w:rsidRPr="00C0327C" w:rsidRDefault="00134E25" w:rsidP="00134E25">
      <w:pPr>
        <w:widowControl w:val="0"/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реестров муниципальных нормативных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(далее - Положение, реестры) регулирует порядок организации и ведения реестра нормативных правовых актов, принятых Советом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34E25" w:rsidRPr="00C0327C" w:rsidRDefault="00134E25" w:rsidP="00134E25">
      <w:pPr>
        <w:widowControl w:val="0"/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 ведутся для учета, как актов нормативного, так и ненормативного характера (правоприменительных актов) Совета. Реестры не служат для целей регистрации нормативных правовых актов.</w:t>
      </w:r>
    </w:p>
    <w:p w:rsidR="00134E25" w:rsidRPr="00C0327C" w:rsidRDefault="00134E25" w:rsidP="00134E25">
      <w:pPr>
        <w:widowControl w:val="0"/>
        <w:numPr>
          <w:ilvl w:val="0"/>
          <w:numId w:val="2"/>
        </w:numPr>
        <w:tabs>
          <w:tab w:val="left" w:pos="12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 служат для решения задач: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своевременности опубликования нормативных правовых актов, своевременности направления актов и сведений о них в Государственный комитет Республики Башкортостан по делам юстиции в случаях, установленных законодательством;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информирования и справочного обеспечения деятельности Совета и их должностных лиц;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доступа к нормативной правовой базе Совета контрольных (надзорных) органов.</w:t>
      </w:r>
    </w:p>
    <w:p w:rsidR="00134E25" w:rsidRPr="00C0327C" w:rsidRDefault="00134E25" w:rsidP="00134E25">
      <w:pPr>
        <w:widowControl w:val="0"/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-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Совета.</w:t>
      </w:r>
    </w:p>
    <w:p w:rsidR="00134E25" w:rsidRPr="00C0327C" w:rsidRDefault="00134E25" w:rsidP="00134E25">
      <w:pPr>
        <w:widowControl w:val="0"/>
        <w:tabs>
          <w:tab w:val="left" w:pos="123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keepNext/>
        <w:keepLines/>
        <w:widowControl w:val="0"/>
        <w:numPr>
          <w:ilvl w:val="0"/>
          <w:numId w:val="4"/>
        </w:numPr>
        <w:tabs>
          <w:tab w:val="left" w:pos="3128"/>
        </w:tabs>
        <w:spacing w:after="0" w:line="240" w:lineRule="auto"/>
        <w:ind w:left="28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bookmark1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и ведение реестров</w:t>
      </w:r>
      <w:bookmarkEnd w:id="1"/>
    </w:p>
    <w:p w:rsidR="00134E25" w:rsidRPr="00C0327C" w:rsidRDefault="00134E25" w:rsidP="00134E25">
      <w:pPr>
        <w:keepNext/>
        <w:keepLines/>
        <w:widowControl w:val="0"/>
        <w:tabs>
          <w:tab w:val="left" w:pos="3128"/>
        </w:tabs>
        <w:spacing w:after="0" w:line="240" w:lineRule="auto"/>
        <w:ind w:left="28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2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 ведутся в электронном виде на русском языке.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23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реестры включаются сведения о муниципальных нормативных правовых актах: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опубликованных, так и неопубликованных;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действующих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утративших силу или измененных иными</w:t>
      </w:r>
    </w:p>
    <w:p w:rsidR="00134E25" w:rsidRPr="00C0327C" w:rsidRDefault="00134E25" w:rsidP="00134E2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актами;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или об утрате силы, приостановлении или продлении сроков действия актов.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32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реестры, ведущиеся в Совете (Приложения № 1, № 2), включаются сведения: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решениях, принятых Советом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(приложение № 1 к Положению);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постановлениях, принятых Советом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(приложение № 2 к Положению).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32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реестры включаются следующие сведения: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принятия;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(при наличии).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32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Включению в реестры подлежат следующие дополнительные сведения о муниципальных нормативных правовых актах: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опубликовании (обнародовании);</w:t>
      </w:r>
    </w:p>
    <w:p w:rsidR="00134E25" w:rsidRPr="00C0327C" w:rsidRDefault="00134E25" w:rsidP="00134E25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судом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недействующими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32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реестры может включаться иная дополнительная информация о муниципальных нормативных правовых актах.</w:t>
      </w:r>
    </w:p>
    <w:p w:rsidR="00134E25" w:rsidRPr="00C0327C" w:rsidRDefault="00134E25" w:rsidP="00134E25">
      <w:pPr>
        <w:widowControl w:val="0"/>
        <w:numPr>
          <w:ilvl w:val="1"/>
          <w:numId w:val="4"/>
        </w:numPr>
        <w:tabs>
          <w:tab w:val="left" w:pos="132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134E25" w:rsidRPr="00C0327C" w:rsidRDefault="00134E25" w:rsidP="00134E25">
      <w:pPr>
        <w:widowControl w:val="0"/>
        <w:tabs>
          <w:tab w:val="left" w:pos="1329"/>
        </w:tabs>
        <w:spacing w:after="0" w:line="240" w:lineRule="auto"/>
        <w:ind w:left="7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keepNext/>
        <w:keepLines/>
        <w:widowControl w:val="0"/>
        <w:numPr>
          <w:ilvl w:val="0"/>
          <w:numId w:val="4"/>
        </w:numPr>
        <w:tabs>
          <w:tab w:val="left" w:pos="959"/>
        </w:tabs>
        <w:spacing w:after="0" w:line="240" w:lineRule="auto"/>
        <w:ind w:left="60"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2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 условия предоставления информации,                          содержащейся в</w:t>
      </w:r>
      <w:bookmarkStart w:id="3" w:name="bookmark3"/>
      <w:bookmarkEnd w:id="2"/>
      <w:r w:rsidRPr="00C0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реестрах</w:t>
      </w:r>
      <w:bookmarkEnd w:id="3"/>
    </w:p>
    <w:p w:rsidR="00134E25" w:rsidRPr="00C0327C" w:rsidRDefault="00134E25" w:rsidP="00134E25">
      <w:pPr>
        <w:keepNext/>
        <w:keepLines/>
        <w:widowControl w:val="0"/>
        <w:tabs>
          <w:tab w:val="left" w:pos="959"/>
        </w:tabs>
        <w:spacing w:after="0" w:line="240" w:lineRule="auto"/>
        <w:ind w:left="78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34E25" w:rsidRPr="00C0327C" w:rsidSect="00AB185E">
          <w:pgSz w:w="11909" w:h="16838"/>
          <w:pgMar w:top="993" w:right="946" w:bottom="851" w:left="946" w:header="0" w:footer="3" w:gutter="344"/>
          <w:cols w:space="720"/>
          <w:noEndnote/>
          <w:docGrid w:linePitch="360"/>
        </w:sect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сведений, содержащихся в реестрах в уполномоченные органы в случаях, предусмотренных законодательством, осуществляется                   в порядке, определенном соответствующими нормативными правовыми актами.</w:t>
      </w: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порядке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реестров муниципальных нормативных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Чишминский район </w:t>
      </w: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134E25" w:rsidRPr="00C0327C" w:rsidRDefault="00134E25" w:rsidP="00134E25">
      <w:pPr>
        <w:framePr w:w="10105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framePr w:w="10105"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27C">
        <w:rPr>
          <w:rFonts w:ascii="Times New Roman" w:hAnsi="Times New Roman" w:cs="Times New Roman"/>
          <w:color w:val="000000"/>
          <w:sz w:val="28"/>
          <w:szCs w:val="28"/>
        </w:rPr>
        <w:t xml:space="preserve">Реестр муниципальных нормативных правовых актов (решений) </w:t>
      </w:r>
      <w:r w:rsidRPr="00C0327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Совета</w:t>
      </w:r>
      <w:r w:rsidRPr="00C03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сельского поселения </w:t>
      </w:r>
      <w:r w:rsidR="00410875" w:rsidRPr="00C0327C">
        <w:rPr>
          <w:rFonts w:ascii="Times New Roman" w:hAnsi="Times New Roman" w:cs="Times New Roman"/>
          <w:color w:val="000000"/>
          <w:sz w:val="28"/>
          <w:szCs w:val="28"/>
          <w:u w:val="single"/>
        </w:rPr>
        <w:t>Еремеевский</w:t>
      </w:r>
      <w:r w:rsidRPr="00C03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сельсовет муниципального района Чишминский район 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134E25" w:rsidRPr="00C0327C" w:rsidTr="0036360F">
        <w:trPr>
          <w:trHeight w:hRule="exact" w:val="15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Примечания</w:t>
            </w:r>
          </w:p>
        </w:tc>
      </w:tr>
      <w:tr w:rsidR="00134E25" w:rsidRPr="00C0327C" w:rsidTr="0036360F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25" w:rsidRPr="00C0327C" w:rsidTr="0036360F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25" w:rsidRPr="00C0327C" w:rsidTr="0036360F">
        <w:trPr>
          <w:trHeight w:hRule="exact" w:val="536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25" w:rsidRPr="00C0327C" w:rsidRDefault="00134E25" w:rsidP="0013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Default="00134E25" w:rsidP="00C0327C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27C" w:rsidRDefault="00C0327C" w:rsidP="00C0327C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27C" w:rsidRDefault="00C0327C" w:rsidP="00C0327C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27C" w:rsidRDefault="00C0327C" w:rsidP="00C0327C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27C" w:rsidRDefault="00C0327C" w:rsidP="00C0327C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D9B" w:rsidRPr="00C0327C" w:rsidRDefault="00187D9B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к положению о порядке </w:t>
      </w:r>
      <w:proofErr w:type="gramStart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реестров муниципальных нормативных правовых актов Совета сельского поселения</w:t>
      </w:r>
      <w:proofErr w:type="gramEnd"/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134E25" w:rsidRPr="00C0327C" w:rsidRDefault="00134E25" w:rsidP="00134E25">
      <w:pPr>
        <w:widowControl w:val="0"/>
        <w:spacing w:after="0" w:line="240" w:lineRule="auto"/>
        <w:ind w:left="4160" w:right="4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муниципальных нормативных правовых актов (постановлений) Совета сельского поселения </w:t>
      </w:r>
      <w:r w:rsidR="00410875"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r w:rsidRPr="00C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134E25" w:rsidRPr="00C0327C" w:rsidTr="0036360F">
        <w:trPr>
          <w:trHeight w:hRule="exact" w:val="15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Примечания</w:t>
            </w:r>
          </w:p>
        </w:tc>
      </w:tr>
      <w:tr w:rsidR="00134E25" w:rsidRPr="00C0327C" w:rsidTr="0036360F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25" w:rsidRPr="00C0327C" w:rsidTr="0036360F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25" w:rsidRPr="00C0327C" w:rsidTr="0036360F">
        <w:trPr>
          <w:trHeight w:hRule="exact" w:val="529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widowControl w:val="0"/>
              <w:tabs>
                <w:tab w:val="left" w:leader="underscore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0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год</w:t>
            </w:r>
          </w:p>
        </w:tc>
      </w:tr>
      <w:tr w:rsidR="00134E25" w:rsidRPr="00C0327C" w:rsidTr="0036360F">
        <w:trPr>
          <w:trHeight w:hRule="exact" w:val="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E25" w:rsidRPr="00C0327C" w:rsidRDefault="00134E25" w:rsidP="00134E25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25" w:rsidRPr="00C0327C" w:rsidRDefault="00134E25" w:rsidP="0013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25" w:rsidRPr="00C0327C" w:rsidRDefault="00134E25" w:rsidP="0013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25" w:rsidRPr="00C0327C" w:rsidRDefault="00134E25" w:rsidP="0013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22" w:rsidRPr="00C0327C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C0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AD8"/>
    <w:multiLevelType w:val="multilevel"/>
    <w:tmpl w:val="18DAA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C0D10"/>
    <w:multiLevelType w:val="multilevel"/>
    <w:tmpl w:val="C0FC4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8100C"/>
    <w:multiLevelType w:val="multilevel"/>
    <w:tmpl w:val="02EA1D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63AE0"/>
    <w:multiLevelType w:val="multilevel"/>
    <w:tmpl w:val="D740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C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4E25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7D9B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108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2FB3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7F5D3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65A0"/>
    <w:rsid w:val="00872D45"/>
    <w:rsid w:val="008743D3"/>
    <w:rsid w:val="00875633"/>
    <w:rsid w:val="0088068C"/>
    <w:rsid w:val="00884584"/>
    <w:rsid w:val="0088557C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0D3C"/>
    <w:rsid w:val="00932C6E"/>
    <w:rsid w:val="00935701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37EE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E5F"/>
    <w:rsid w:val="00C0327C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4BC0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82C44"/>
    <w:rsid w:val="00F91965"/>
    <w:rsid w:val="00F93100"/>
    <w:rsid w:val="00FA3DA7"/>
    <w:rsid w:val="00FA66EF"/>
    <w:rsid w:val="00FA69AA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2020-07-29T09:59:00Z</cp:lastPrinted>
  <dcterms:created xsi:type="dcterms:W3CDTF">2020-07-29T06:38:00Z</dcterms:created>
  <dcterms:modified xsi:type="dcterms:W3CDTF">2020-07-29T10:28:00Z</dcterms:modified>
</cp:coreProperties>
</file>